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7F" w:rsidRDefault="003B3E7F" w:rsidP="003B3E7F">
      <w:pPr>
        <w:rPr>
          <w:b/>
        </w:rPr>
      </w:pPr>
      <w:r>
        <w:rPr>
          <w:b/>
        </w:rPr>
        <w:t xml:space="preserve">Reglement Erfgoedprijs </w:t>
      </w:r>
      <w:r w:rsidRPr="00706946">
        <w:rPr>
          <w:b/>
        </w:rPr>
        <w:t>van de provincie Antwerpen</w:t>
      </w:r>
      <w:r>
        <w:rPr>
          <w:b/>
        </w:rPr>
        <w:t xml:space="preserve"> 2021 </w:t>
      </w:r>
    </w:p>
    <w:p w:rsidR="003B3E7F" w:rsidRPr="00706946" w:rsidRDefault="003B3E7F" w:rsidP="003B3E7F">
      <w:pPr>
        <w:rPr>
          <w:b/>
        </w:rPr>
      </w:pPr>
      <w:r w:rsidRPr="00706946">
        <w:rPr>
          <w:b/>
        </w:rPr>
        <w:t xml:space="preserve">Algemene bepalingen </w:t>
      </w:r>
    </w:p>
    <w:p w:rsidR="003B3E7F" w:rsidRPr="00706946" w:rsidRDefault="003B3E7F" w:rsidP="003B3E7F">
      <w:pPr>
        <w:jc w:val="both"/>
      </w:pPr>
    </w:p>
    <w:p w:rsidR="003B3E7F" w:rsidRPr="00706946" w:rsidRDefault="003B3E7F" w:rsidP="003B3E7F">
      <w:pPr>
        <w:jc w:val="both"/>
      </w:pPr>
      <w:r>
        <w:rPr>
          <w:b/>
        </w:rPr>
        <w:t>a</w:t>
      </w:r>
      <w:r w:rsidRPr="003B3E7F">
        <w:rPr>
          <w:b/>
        </w:rPr>
        <w:t>rt.1</w:t>
      </w:r>
      <w:r>
        <w:tab/>
      </w:r>
      <w:r w:rsidRPr="00706946">
        <w:t>Door de toekenning van een prijs in de sector van het onroerend erfgoed wenst het provinciebestuur niet alleen zijn waardering uit te drukken voor het werk van de laureaat en de genomineerden, maar ook wil het door het geldbedrag dat er aan verbonden is, de laureaat en de genomineerden aanmoedigen hun werk verder te zetten. Met deze erfgoedprijs worden personen bekroond die zich verdienstelijk gemaakt hebben op het vlak van de ontwikkeling, de verspreiding, het behoud of het onderzoek van het onroerend erfgoed.</w:t>
      </w:r>
    </w:p>
    <w:p w:rsidR="003B3E7F" w:rsidRPr="00706946" w:rsidRDefault="003B3E7F" w:rsidP="003B3E7F">
      <w:pPr>
        <w:jc w:val="both"/>
      </w:pPr>
      <w:r>
        <w:rPr>
          <w:b/>
        </w:rPr>
        <w:t>a</w:t>
      </w:r>
      <w:r w:rsidRPr="003B3E7F">
        <w:rPr>
          <w:b/>
        </w:rPr>
        <w:t>rt.2</w:t>
      </w:r>
      <w:r>
        <w:tab/>
      </w:r>
      <w:r w:rsidRPr="00706946">
        <w:t xml:space="preserve">De prijs wordt toegekend aan een Onroerend Erfgoedproject uit de provincie Antwerpen dat dit erfgoed onder de aandacht brengt van een ruim publiek en dit via, bijvoorbeeld, onderzoek, publicatie, ontsluiting, herbestemming, educatieve projecten … </w:t>
      </w:r>
    </w:p>
    <w:p w:rsidR="003B3E7F" w:rsidRPr="00706946" w:rsidRDefault="003B3E7F" w:rsidP="003B3E7F">
      <w:pPr>
        <w:jc w:val="both"/>
      </w:pPr>
      <w:r w:rsidRPr="00706946">
        <w:t>Onder Onroerend Erfgoedprojecten wordt verstaan: een project of initiatief dat als onderwerp een monument, lands</w:t>
      </w:r>
      <w:r>
        <w:t>chap, vliegend, varend, rollend</w:t>
      </w:r>
      <w:r w:rsidRPr="00706946">
        <w:t>, rijdend of archeologisch erfgoed heeft. (inclusief, bijvoorbeeld, industrieel, funerair of militair erfgoed)</w:t>
      </w:r>
    </w:p>
    <w:p w:rsidR="003B3E7F" w:rsidRPr="00706946" w:rsidRDefault="003B3E7F" w:rsidP="003B3E7F">
      <w:pPr>
        <w:jc w:val="both"/>
      </w:pPr>
      <w:r w:rsidRPr="00706946">
        <w:t>Louter restauratie- en conservatieprojecten komen niet in aanmerking.</w:t>
      </w:r>
    </w:p>
    <w:p w:rsidR="003B3E7F" w:rsidRPr="00706946" w:rsidRDefault="003B3E7F" w:rsidP="003B3E7F">
      <w:pPr>
        <w:jc w:val="both"/>
      </w:pPr>
      <w:r w:rsidRPr="003B3E7F">
        <w:rPr>
          <w:b/>
        </w:rPr>
        <w:t>art.3</w:t>
      </w:r>
      <w:r>
        <w:tab/>
      </w:r>
      <w:r w:rsidRPr="00706946">
        <w:t>De deelname aan de prijs wordt opengesteld aan feitelijke verenigingen, vzw’s, stichtingen, fondsen, openbare besturen</w:t>
      </w:r>
      <w:r>
        <w:t xml:space="preserve"> en</w:t>
      </w:r>
      <w:r w:rsidRPr="00706946">
        <w:t xml:space="preserve"> intergemeentelijke samenwerkingsverbanden</w:t>
      </w:r>
      <w:r>
        <w:t>,</w:t>
      </w:r>
      <w:r w:rsidRPr="00706946">
        <w:t xml:space="preserve"> op voorwaarde dat het genomineerde initiatief gerealiseerd werd in de provincie Antwerpen én het onroerend erfgoed gelegen in de provincie Antwerpen als onderwerp heeft. </w:t>
      </w:r>
    </w:p>
    <w:p w:rsidR="003B3E7F" w:rsidRPr="001268A6" w:rsidRDefault="003B3E7F" w:rsidP="003B3E7F">
      <w:pPr>
        <w:jc w:val="both"/>
      </w:pPr>
      <w:r w:rsidRPr="00706946">
        <w:t>Personeelsl</w:t>
      </w:r>
      <w:r>
        <w:t>eden van de provincie Antwerpen, van</w:t>
      </w:r>
      <w:r w:rsidRPr="00706946">
        <w:t xml:space="preserve"> de Vlaamse en </w:t>
      </w:r>
      <w:r>
        <w:t xml:space="preserve">van </w:t>
      </w:r>
      <w:r w:rsidRPr="00706946">
        <w:t>de federale overheden en alle aan hen gelinkte structuren tot wiens opdracht de werking rond Onroerend Erfgoed behoort, zijn uitgesl</w:t>
      </w:r>
      <w:r w:rsidRPr="001268A6">
        <w:t>oten van deelname.</w:t>
      </w:r>
    </w:p>
    <w:p w:rsidR="003B3E7F" w:rsidRPr="00706946" w:rsidRDefault="003B3E7F" w:rsidP="003B3E7F">
      <w:pPr>
        <w:jc w:val="both"/>
      </w:pPr>
      <w:r w:rsidRPr="003B3E7F">
        <w:rPr>
          <w:b/>
        </w:rPr>
        <w:t>art.4</w:t>
      </w:r>
      <w:r>
        <w:tab/>
      </w:r>
      <w:r w:rsidRPr="00706946">
        <w:t xml:space="preserve">De beoordeling gebeurt bij beraadslaging door een jury, onder voorzitterschap van </w:t>
      </w:r>
      <w:r>
        <w:t>de gedeputeerde bevoegd voor erfgoed</w:t>
      </w:r>
      <w:r w:rsidRPr="00706946">
        <w:t>. De jury wordt benoemd door de deputatie. De leden van de jury kunnen niet deelnemen aan de prijs. De beslissing van de jury wordt genomen bij beraadslaging in aanwezigheid van ten minste drie leden.</w:t>
      </w:r>
    </w:p>
    <w:p w:rsidR="003B3E7F" w:rsidRPr="00706946" w:rsidRDefault="003B3E7F" w:rsidP="003B3E7F">
      <w:pPr>
        <w:jc w:val="both"/>
      </w:pPr>
      <w:r w:rsidRPr="003B3E7F">
        <w:rPr>
          <w:b/>
        </w:rPr>
        <w:t>art.5</w:t>
      </w:r>
      <w:r>
        <w:tab/>
      </w:r>
      <w:r w:rsidRPr="00706946">
        <w:t xml:space="preserve">Op basis van een gemotiveerd juryverslag kent de deputatie de prijs toe. Tegen deze beslissing is geen verhaal mogelijk. Door hun deelname aan de wedstrijd aanvaarden de deelnemers dit reglement en de beslissing van de Deputatie op voorstel van de jury. De documentatie van de bekroonde inzendingen blijft ter beschikking van het provinciebestuur. </w:t>
      </w:r>
    </w:p>
    <w:p w:rsidR="003B3E7F" w:rsidRPr="00706946" w:rsidRDefault="003B3E7F" w:rsidP="003B3E7F">
      <w:pPr>
        <w:jc w:val="both"/>
      </w:pPr>
      <w:r w:rsidRPr="003B3E7F">
        <w:rPr>
          <w:b/>
        </w:rPr>
        <w:t>art.6</w:t>
      </w:r>
      <w:r>
        <w:tab/>
      </w:r>
      <w:r w:rsidRPr="00706946">
        <w:t>De bijzondere schikkingen voor de prijs zoals het jaar van uitschrijven, het uitgeloofde bedrag, de bijzondere schikkingen van de deelname, worden door de deputatie bepaald.</w:t>
      </w:r>
    </w:p>
    <w:p w:rsidR="003B3E7F" w:rsidRPr="00706946" w:rsidRDefault="003B3E7F" w:rsidP="003B3E7F">
      <w:pPr>
        <w:jc w:val="both"/>
      </w:pPr>
      <w:r w:rsidRPr="003B3E7F">
        <w:rPr>
          <w:b/>
        </w:rPr>
        <w:t>art.7</w:t>
      </w:r>
      <w:r>
        <w:tab/>
      </w:r>
      <w:r w:rsidRPr="00706946">
        <w:t>Deze algemene bepalingen worden van kracht vanaf 1 mei 2018.</w:t>
      </w:r>
    </w:p>
    <w:p w:rsidR="003B3E7F" w:rsidRDefault="003B3E7F">
      <w:pPr>
        <w:rPr>
          <w:rFonts w:ascii="Calibri" w:eastAsia="Calibri" w:hAnsi="Calibri" w:cs="Calibri"/>
          <w:b/>
          <w:bCs/>
        </w:rPr>
      </w:pPr>
      <w:r>
        <w:rPr>
          <w:rFonts w:ascii="Calibri" w:eastAsia="Calibri" w:hAnsi="Calibri" w:cs="Calibri"/>
          <w:b/>
          <w:bCs/>
        </w:rPr>
        <w:br w:type="page"/>
      </w:r>
    </w:p>
    <w:p w:rsidR="003B3E7F" w:rsidRDefault="003B3E7F" w:rsidP="003B3E7F">
      <w:pPr>
        <w:rPr>
          <w:rFonts w:ascii="Calibri" w:eastAsia="Calibri" w:hAnsi="Calibri" w:cs="Calibri"/>
        </w:rPr>
      </w:pPr>
      <w:r w:rsidRPr="17057BAB">
        <w:rPr>
          <w:rFonts w:ascii="Calibri" w:eastAsia="Calibri" w:hAnsi="Calibri" w:cs="Calibri"/>
          <w:b/>
          <w:bCs/>
        </w:rPr>
        <w:lastRenderedPageBreak/>
        <w:t>Bijzondere schikkingen 202</w:t>
      </w:r>
      <w:r>
        <w:rPr>
          <w:rFonts w:ascii="Calibri" w:eastAsia="Calibri" w:hAnsi="Calibri" w:cs="Calibri"/>
          <w:b/>
          <w:bCs/>
        </w:rPr>
        <w:t>1</w:t>
      </w:r>
    </w:p>
    <w:p w:rsidR="003B3E7F" w:rsidRDefault="003B3E7F" w:rsidP="003B3E7F">
      <w:pPr>
        <w:rPr>
          <w:rFonts w:ascii="Calibri" w:eastAsia="Calibri" w:hAnsi="Calibri" w:cs="Calibri"/>
        </w:rPr>
      </w:pPr>
    </w:p>
    <w:p w:rsidR="003B3E7F" w:rsidRPr="003B3E7F" w:rsidRDefault="003B3E7F" w:rsidP="003B3E7F">
      <w:pPr>
        <w:pStyle w:val="Lijstalinea"/>
        <w:numPr>
          <w:ilvl w:val="0"/>
          <w:numId w:val="6"/>
        </w:numPr>
        <w:ind w:left="360"/>
        <w:rPr>
          <w:rFonts w:eastAsiaTheme="minorEastAsia"/>
        </w:rPr>
      </w:pPr>
      <w:r w:rsidRPr="003B3E7F">
        <w:rPr>
          <w:rFonts w:ascii="Calibri" w:eastAsia="Calibri" w:hAnsi="Calibri" w:cs="Calibri"/>
        </w:rPr>
        <w:t>De Erfgoedprijs 2021 heeft een prijzengeld van 20.000 EUR en is als volgt deelbaar:</w:t>
      </w:r>
    </w:p>
    <w:p w:rsidR="003B3E7F" w:rsidRDefault="003B3E7F" w:rsidP="003B3E7F">
      <w:pPr>
        <w:pStyle w:val="Lijstalinea"/>
        <w:numPr>
          <w:ilvl w:val="0"/>
          <w:numId w:val="7"/>
        </w:numPr>
        <w:rPr>
          <w:rFonts w:eastAsiaTheme="minorEastAsia"/>
        </w:rPr>
      </w:pPr>
      <w:r w:rsidRPr="17057BAB">
        <w:rPr>
          <w:rFonts w:ascii="Calibri" w:eastAsia="Calibri" w:hAnsi="Calibri" w:cs="Calibri"/>
        </w:rPr>
        <w:t xml:space="preserve">Een hoofdprijs van 10.000 </w:t>
      </w:r>
      <w:r>
        <w:rPr>
          <w:rFonts w:ascii="Calibri" w:eastAsia="Calibri" w:hAnsi="Calibri" w:cs="Calibri"/>
        </w:rPr>
        <w:t xml:space="preserve">EUR </w:t>
      </w:r>
      <w:r w:rsidRPr="17057BAB">
        <w:rPr>
          <w:rFonts w:ascii="Calibri" w:eastAsia="Calibri" w:hAnsi="Calibri" w:cs="Calibri"/>
        </w:rPr>
        <w:t>voor de winnaar</w:t>
      </w:r>
    </w:p>
    <w:p w:rsidR="003B3E7F" w:rsidRPr="003B3E7F" w:rsidRDefault="003B3E7F" w:rsidP="003B3E7F">
      <w:pPr>
        <w:pStyle w:val="Lijstalinea"/>
        <w:numPr>
          <w:ilvl w:val="0"/>
          <w:numId w:val="7"/>
        </w:numPr>
        <w:rPr>
          <w:rFonts w:eastAsiaTheme="minorEastAsia"/>
        </w:rPr>
      </w:pPr>
      <w:r w:rsidRPr="17057BAB">
        <w:rPr>
          <w:rFonts w:ascii="Calibri" w:eastAsia="Calibri" w:hAnsi="Calibri" w:cs="Calibri"/>
        </w:rPr>
        <w:t xml:space="preserve">Een prijs van 5.000 </w:t>
      </w:r>
      <w:r>
        <w:rPr>
          <w:rFonts w:ascii="Calibri" w:eastAsia="Calibri" w:hAnsi="Calibri" w:cs="Calibri"/>
        </w:rPr>
        <w:t>EUR</w:t>
      </w:r>
      <w:r w:rsidRPr="17057BAB">
        <w:rPr>
          <w:rFonts w:ascii="Calibri" w:eastAsia="Calibri" w:hAnsi="Calibri" w:cs="Calibri"/>
        </w:rPr>
        <w:t xml:space="preserve"> elk voor maximum 2 laureaten.</w:t>
      </w:r>
    </w:p>
    <w:p w:rsidR="003B3E7F" w:rsidRPr="003B3E7F" w:rsidRDefault="003B3E7F" w:rsidP="003B3E7F">
      <w:pPr>
        <w:pStyle w:val="Lijstalinea"/>
        <w:ind w:left="1080"/>
        <w:rPr>
          <w:rFonts w:eastAsiaTheme="minorEastAsia"/>
        </w:rPr>
      </w:pPr>
    </w:p>
    <w:p w:rsidR="003B3E7F" w:rsidRPr="00A31227" w:rsidRDefault="003B3E7F" w:rsidP="00A31227">
      <w:pPr>
        <w:pStyle w:val="Lijstalinea"/>
        <w:numPr>
          <w:ilvl w:val="0"/>
          <w:numId w:val="6"/>
        </w:numPr>
        <w:ind w:left="360"/>
        <w:rPr>
          <w:rFonts w:eastAsiaTheme="minorEastAsia"/>
        </w:rPr>
      </w:pPr>
      <w:r w:rsidRPr="00A31227">
        <w:rPr>
          <w:rFonts w:ascii="Calibri" w:eastAsia="Calibri" w:hAnsi="Calibri" w:cs="Calibri"/>
        </w:rPr>
        <w:t>De erfgoedprijs wordt toegekend aan projecten die Onroerend Erfgoed als onderwerp hebben. Voor de editie 2021 komen projecten in aanmerking die gerealiseerd werden tussen 1 januari 2018 en 31 maart 2021. Projecten moeten zich duidelijk onderscheiden van de permanente werking van de aanvrager en zijn per definitie beperkt in de tijd.</w:t>
      </w:r>
    </w:p>
    <w:p w:rsidR="003B3E7F" w:rsidRPr="003B3E7F" w:rsidRDefault="003B3E7F" w:rsidP="003B3E7F">
      <w:pPr>
        <w:pStyle w:val="Lijstalinea"/>
        <w:ind w:left="0"/>
        <w:rPr>
          <w:rFonts w:eastAsiaTheme="minorEastAsia"/>
        </w:rPr>
      </w:pPr>
    </w:p>
    <w:p w:rsidR="003B3E7F" w:rsidRPr="003B3E7F" w:rsidRDefault="003B3E7F" w:rsidP="00A31227">
      <w:pPr>
        <w:pStyle w:val="Lijstalinea"/>
        <w:numPr>
          <w:ilvl w:val="0"/>
          <w:numId w:val="6"/>
        </w:numPr>
        <w:ind w:left="360"/>
      </w:pPr>
      <w:r w:rsidRPr="564E5848">
        <w:rPr>
          <w:rFonts w:ascii="Calibri" w:eastAsia="Calibri" w:hAnsi="Calibri" w:cs="Calibri"/>
        </w:rPr>
        <w:t>Projecten die werden uitgeroepen tot laureaat of winnaar van de Erfgoedprijs in 2018</w:t>
      </w:r>
      <w:r>
        <w:rPr>
          <w:rFonts w:ascii="Calibri" w:eastAsia="Calibri" w:hAnsi="Calibri" w:cs="Calibri"/>
        </w:rPr>
        <w:t>, 2019</w:t>
      </w:r>
      <w:r w:rsidRPr="564E5848">
        <w:rPr>
          <w:rFonts w:ascii="Calibri" w:eastAsia="Calibri" w:hAnsi="Calibri" w:cs="Calibri"/>
        </w:rPr>
        <w:t xml:space="preserve"> of 20</w:t>
      </w:r>
      <w:r>
        <w:rPr>
          <w:rFonts w:ascii="Calibri" w:eastAsia="Calibri" w:hAnsi="Calibri" w:cs="Calibri"/>
        </w:rPr>
        <w:t>20</w:t>
      </w:r>
      <w:r w:rsidRPr="564E5848">
        <w:rPr>
          <w:rFonts w:ascii="Calibri" w:eastAsia="Calibri" w:hAnsi="Calibri" w:cs="Calibri"/>
        </w:rPr>
        <w:t xml:space="preserve"> worden uitgesloten van deelname in 202</w:t>
      </w:r>
      <w:r>
        <w:rPr>
          <w:rFonts w:ascii="Calibri" w:eastAsia="Calibri" w:hAnsi="Calibri" w:cs="Calibri"/>
        </w:rPr>
        <w:t>1</w:t>
      </w:r>
      <w:r w:rsidRPr="564E5848">
        <w:rPr>
          <w:rFonts w:ascii="Calibri" w:eastAsia="Calibri" w:hAnsi="Calibri" w:cs="Calibri"/>
        </w:rPr>
        <w:t>.</w:t>
      </w:r>
    </w:p>
    <w:p w:rsidR="003B3E7F" w:rsidRPr="003B3E7F" w:rsidRDefault="003B3E7F" w:rsidP="003B3E7F">
      <w:pPr>
        <w:pStyle w:val="Lijstalinea"/>
        <w:rPr>
          <w:rFonts w:ascii="Calibri" w:eastAsia="Calibri" w:hAnsi="Calibri" w:cs="Calibri"/>
        </w:rPr>
      </w:pPr>
    </w:p>
    <w:p w:rsidR="003B3E7F" w:rsidRPr="003B3E7F" w:rsidRDefault="003B3E7F" w:rsidP="00A31227">
      <w:pPr>
        <w:pStyle w:val="Lijstalinea"/>
        <w:numPr>
          <w:ilvl w:val="0"/>
          <w:numId w:val="6"/>
        </w:numPr>
        <w:ind w:left="360"/>
      </w:pPr>
      <w:r w:rsidRPr="003B3E7F">
        <w:rPr>
          <w:rFonts w:ascii="Calibri" w:eastAsia="Calibri" w:hAnsi="Calibri" w:cs="Calibri"/>
        </w:rPr>
        <w:t>Kandidaten kunnen zelf hun kandidatuur voor de prijs indienen. Elke kandidaat kan maximaal 1 kandidatuursdossier indienen. Via een perscampagne en een gerichte informatiecampagne voor het werkveld zal de editie 2021 worden aangekondigd, zodat kandidaturen kunnen worden ingestuurd.</w:t>
      </w:r>
    </w:p>
    <w:p w:rsidR="003B3E7F" w:rsidRPr="003B3E7F" w:rsidRDefault="003B3E7F" w:rsidP="003B3E7F">
      <w:pPr>
        <w:pStyle w:val="Lijstalinea"/>
        <w:rPr>
          <w:rFonts w:ascii="Calibri" w:eastAsia="Calibri" w:hAnsi="Calibri" w:cs="Calibri"/>
        </w:rPr>
      </w:pPr>
    </w:p>
    <w:p w:rsidR="003B3E7F" w:rsidRPr="003B3E7F" w:rsidRDefault="003B3E7F" w:rsidP="00A31227">
      <w:pPr>
        <w:pStyle w:val="Lijstalinea"/>
        <w:numPr>
          <w:ilvl w:val="0"/>
          <w:numId w:val="6"/>
        </w:numPr>
        <w:ind w:left="360"/>
      </w:pPr>
      <w:r w:rsidRPr="003B3E7F">
        <w:rPr>
          <w:rFonts w:ascii="Calibri" w:eastAsia="Calibri" w:hAnsi="Calibri" w:cs="Calibri"/>
        </w:rPr>
        <w:t>Een deelnamedossier bestaat uit volgende elementen:</w:t>
      </w:r>
    </w:p>
    <w:p w:rsidR="003B3E7F" w:rsidRDefault="003B3E7F" w:rsidP="003B3E7F">
      <w:pPr>
        <w:pStyle w:val="Lijstalinea"/>
        <w:numPr>
          <w:ilvl w:val="0"/>
          <w:numId w:val="3"/>
        </w:numPr>
        <w:rPr>
          <w:rFonts w:eastAsiaTheme="minorEastAsia"/>
        </w:rPr>
      </w:pPr>
      <w:r w:rsidRPr="17057BAB">
        <w:rPr>
          <w:rFonts w:ascii="Calibri" w:eastAsia="Calibri" w:hAnsi="Calibri" w:cs="Calibri"/>
        </w:rPr>
        <w:t>Een volledig en correct ingevuld digitaal deelnameformulier. Een deelname is enkel mogelijk via het digitale formulier. Analoge kandidaatstellingen worden niet aanvaard.</w:t>
      </w:r>
    </w:p>
    <w:p w:rsidR="003B3E7F" w:rsidRDefault="003B3E7F" w:rsidP="003B3E7F">
      <w:pPr>
        <w:pStyle w:val="Lijstalinea"/>
        <w:numPr>
          <w:ilvl w:val="0"/>
          <w:numId w:val="3"/>
        </w:numPr>
        <w:rPr>
          <w:rFonts w:eastAsiaTheme="minorEastAsia"/>
        </w:rPr>
      </w:pPr>
      <w:r w:rsidRPr="6C522300">
        <w:rPr>
          <w:rFonts w:ascii="Calibri" w:eastAsia="Calibri" w:hAnsi="Calibri" w:cs="Calibri"/>
        </w:rPr>
        <w:t>Eventuele bijlagen (publicaties, folders, brochures, ...) die de draagwijdte van het project illustreren. Deze bijlagen kunnen digitaal of analoog aangeleverd worden.</w:t>
      </w:r>
    </w:p>
    <w:p w:rsidR="003B3E7F" w:rsidRDefault="003B3E7F" w:rsidP="003B3E7F">
      <w:pPr>
        <w:pStyle w:val="Lijstalinea"/>
        <w:numPr>
          <w:ilvl w:val="0"/>
          <w:numId w:val="3"/>
        </w:numPr>
      </w:pPr>
      <w:r w:rsidRPr="564E5848">
        <w:rPr>
          <w:rFonts w:ascii="Calibri" w:eastAsia="Calibri" w:hAnsi="Calibri" w:cs="Calibri"/>
        </w:rPr>
        <w:t xml:space="preserve">Minstens 3 digitale foto’s die het project illustreren (jpg-formaat, drukkwaliteit, minimaal 300 dpi). Deze worden </w:t>
      </w:r>
      <w:proofErr w:type="spellStart"/>
      <w:r w:rsidRPr="564E5848">
        <w:rPr>
          <w:rFonts w:ascii="Calibri" w:eastAsia="Calibri" w:hAnsi="Calibri" w:cs="Calibri"/>
        </w:rPr>
        <w:t>rechte</w:t>
      </w:r>
      <w:r>
        <w:rPr>
          <w:rFonts w:ascii="Calibri" w:eastAsia="Calibri" w:hAnsi="Calibri" w:cs="Calibri"/>
        </w:rPr>
        <w:t>n</w:t>
      </w:r>
      <w:r w:rsidRPr="564E5848">
        <w:rPr>
          <w:rFonts w:ascii="Calibri" w:eastAsia="Calibri" w:hAnsi="Calibri" w:cs="Calibri"/>
        </w:rPr>
        <w:t>vrij</w:t>
      </w:r>
      <w:proofErr w:type="spellEnd"/>
      <w:r w:rsidRPr="564E5848">
        <w:rPr>
          <w:rFonts w:ascii="Calibri" w:eastAsia="Calibri" w:hAnsi="Calibri" w:cs="Calibri"/>
        </w:rPr>
        <w:t xml:space="preserve"> aangeleverd en houden rekening met de wetgeving i</w:t>
      </w:r>
      <w:r>
        <w:rPr>
          <w:rFonts w:ascii="Calibri" w:eastAsia="Calibri" w:hAnsi="Calibri" w:cs="Calibri"/>
        </w:rPr>
        <w:t>.</w:t>
      </w:r>
      <w:r w:rsidRPr="564E5848">
        <w:rPr>
          <w:rFonts w:ascii="Calibri" w:eastAsia="Calibri" w:hAnsi="Calibri" w:cs="Calibri"/>
        </w:rPr>
        <w:t>v</w:t>
      </w:r>
      <w:r>
        <w:rPr>
          <w:rFonts w:ascii="Calibri" w:eastAsia="Calibri" w:hAnsi="Calibri" w:cs="Calibri"/>
        </w:rPr>
        <w:t>.</w:t>
      </w:r>
      <w:r w:rsidRPr="564E5848">
        <w:rPr>
          <w:rFonts w:ascii="Calibri" w:eastAsia="Calibri" w:hAnsi="Calibri" w:cs="Calibri"/>
        </w:rPr>
        <w:t>m. Privacy. Ze zullen door het provinciebestuur gebruikt mogen worden voor communicatie in verband met de prijs.</w:t>
      </w:r>
    </w:p>
    <w:p w:rsidR="003B3E7F" w:rsidRPr="003B3E7F" w:rsidRDefault="003B3E7F" w:rsidP="003B3E7F">
      <w:pPr>
        <w:pStyle w:val="Lijstalinea"/>
        <w:numPr>
          <w:ilvl w:val="0"/>
          <w:numId w:val="3"/>
        </w:numPr>
      </w:pPr>
      <w:r w:rsidRPr="6C522300">
        <w:rPr>
          <w:rFonts w:ascii="Calibri" w:eastAsia="Calibri" w:hAnsi="Calibri" w:cs="Calibri"/>
        </w:rPr>
        <w:t>De eventuele bijlagen zijn géén originele (kunst)werken of unieke stukken. Door de stukken aan het dossier toe te voegen, ontslaan de kandidaten het provinciebestuur formeel van de verantwoordelijkheid voor schade aan, diefstal of verlies van documenten. Alle aangeleverde bijlagen blijven eigendom van het provinciebestuur.</w:t>
      </w:r>
    </w:p>
    <w:p w:rsidR="00A31227" w:rsidRPr="00A31227" w:rsidRDefault="00A31227" w:rsidP="00A31227">
      <w:pPr>
        <w:pStyle w:val="Lijstalinea"/>
      </w:pPr>
    </w:p>
    <w:p w:rsidR="00A31227" w:rsidRPr="00A31227" w:rsidRDefault="003B3E7F" w:rsidP="00A31227">
      <w:pPr>
        <w:pStyle w:val="Lijstalinea"/>
        <w:numPr>
          <w:ilvl w:val="0"/>
          <w:numId w:val="6"/>
        </w:numPr>
        <w:ind w:left="360"/>
      </w:pPr>
      <w:r w:rsidRPr="00A31227">
        <w:rPr>
          <w:rFonts w:ascii="Calibri" w:eastAsia="Calibri" w:hAnsi="Calibri" w:cs="Calibri"/>
        </w:rPr>
        <w:t>De</w:t>
      </w:r>
      <w:r w:rsidR="00A31227">
        <w:rPr>
          <w:rFonts w:ascii="Calibri" w:eastAsia="Calibri" w:hAnsi="Calibri" w:cs="Calibri"/>
        </w:rPr>
        <w:t xml:space="preserve"> jury van de Erfgoedprijs 2021 is als volgt samengesteld: </w:t>
      </w:r>
      <w:r w:rsidRPr="00A31227">
        <w:rPr>
          <w:rFonts w:ascii="Calibri" w:eastAsia="Calibri" w:hAnsi="Calibri" w:cs="Calibri"/>
        </w:rPr>
        <w:t xml:space="preserve"> </w:t>
      </w:r>
    </w:p>
    <w:p w:rsidR="00A31227" w:rsidRDefault="00A31227" w:rsidP="00A31227">
      <w:pPr>
        <w:pStyle w:val="paragraph"/>
        <w:numPr>
          <w:ilvl w:val="0"/>
          <w:numId w:val="8"/>
        </w:numPr>
        <w:spacing w:before="0" w:beforeAutospacing="0" w:after="0" w:afterAutospacing="0"/>
        <w:textAlignment w:val="baseline"/>
        <w:rPr>
          <w:rStyle w:val="normaltextrun"/>
          <w:rFonts w:ascii="Calibri" w:hAnsi="Calibri" w:cs="Times New Roman"/>
          <w:sz w:val="22"/>
          <w:szCs w:val="22"/>
        </w:rPr>
      </w:pPr>
      <w:r>
        <w:rPr>
          <w:rStyle w:val="normaltextrun"/>
          <w:rFonts w:ascii="Calibri" w:hAnsi="Calibri" w:cs="Times New Roman"/>
          <w:sz w:val="22"/>
          <w:szCs w:val="22"/>
        </w:rPr>
        <w:t xml:space="preserve">Voorzitter: </w:t>
      </w:r>
      <w:r w:rsidRPr="0006312B">
        <w:rPr>
          <w:rStyle w:val="normaltextrun"/>
          <w:rFonts w:ascii="Calibri" w:hAnsi="Calibri" w:cs="Times New Roman"/>
          <w:sz w:val="22"/>
          <w:szCs w:val="22"/>
        </w:rPr>
        <w:t>Luk Lemmens</w:t>
      </w:r>
      <w:r>
        <w:rPr>
          <w:rStyle w:val="normaltextrun"/>
          <w:rFonts w:ascii="Calibri" w:hAnsi="Calibri" w:cs="Times New Roman"/>
          <w:sz w:val="22"/>
          <w:szCs w:val="22"/>
        </w:rPr>
        <w:t>, gedeputeerde voor erfgoed</w:t>
      </w:r>
      <w:r w:rsidRPr="0006312B">
        <w:rPr>
          <w:rStyle w:val="normaltextrun"/>
          <w:rFonts w:ascii="Calibri" w:hAnsi="Calibri" w:cs="Times New Roman"/>
          <w:sz w:val="22"/>
          <w:szCs w:val="22"/>
        </w:rPr>
        <w:t xml:space="preserve"> </w:t>
      </w:r>
    </w:p>
    <w:p w:rsidR="00A31227" w:rsidRDefault="00A31227" w:rsidP="00A31227">
      <w:pPr>
        <w:pStyle w:val="paragraph"/>
        <w:numPr>
          <w:ilvl w:val="0"/>
          <w:numId w:val="8"/>
        </w:numPr>
        <w:spacing w:before="0" w:beforeAutospacing="0" w:after="0" w:afterAutospacing="0"/>
        <w:textAlignment w:val="baseline"/>
        <w:rPr>
          <w:rStyle w:val="normaltextrun"/>
          <w:rFonts w:ascii="Calibri" w:hAnsi="Calibri" w:cs="Times New Roman"/>
          <w:sz w:val="22"/>
          <w:szCs w:val="22"/>
        </w:rPr>
      </w:pPr>
      <w:r w:rsidRPr="0006312B">
        <w:rPr>
          <w:rStyle w:val="normaltextrun"/>
          <w:rFonts w:ascii="Calibri" w:hAnsi="Calibri" w:cs="Times New Roman"/>
          <w:sz w:val="22"/>
          <w:szCs w:val="22"/>
        </w:rPr>
        <w:t>Secretaris</w:t>
      </w:r>
      <w:r>
        <w:rPr>
          <w:rStyle w:val="normaltextrun"/>
          <w:rFonts w:ascii="Calibri" w:hAnsi="Calibri" w:cs="Times New Roman"/>
          <w:sz w:val="22"/>
          <w:szCs w:val="22"/>
        </w:rPr>
        <w:t xml:space="preserve">: Serge </w:t>
      </w:r>
      <w:proofErr w:type="spellStart"/>
      <w:r>
        <w:rPr>
          <w:rStyle w:val="normaltextrun"/>
          <w:rFonts w:ascii="Calibri" w:hAnsi="Calibri" w:cs="Times New Roman"/>
          <w:sz w:val="22"/>
          <w:szCs w:val="22"/>
        </w:rPr>
        <w:t>Migom</w:t>
      </w:r>
      <w:proofErr w:type="spellEnd"/>
      <w:r>
        <w:rPr>
          <w:rStyle w:val="normaltextrun"/>
          <w:rFonts w:ascii="Calibri" w:hAnsi="Calibri" w:cs="Times New Roman"/>
          <w:sz w:val="22"/>
          <w:szCs w:val="22"/>
        </w:rPr>
        <w:t>, adviseur onroerend erfgoed, dienst Erfgoed</w:t>
      </w:r>
    </w:p>
    <w:p w:rsidR="00A31227" w:rsidRDefault="00A31227" w:rsidP="00A31227">
      <w:pPr>
        <w:pStyle w:val="paragraph"/>
        <w:numPr>
          <w:ilvl w:val="0"/>
          <w:numId w:val="8"/>
        </w:numPr>
        <w:spacing w:before="0" w:beforeAutospacing="0" w:after="0" w:afterAutospacing="0"/>
        <w:textAlignment w:val="baseline"/>
        <w:rPr>
          <w:rStyle w:val="normaltextrun"/>
          <w:rFonts w:ascii="Calibri" w:hAnsi="Calibri" w:cs="Times New Roman"/>
          <w:sz w:val="22"/>
          <w:szCs w:val="22"/>
        </w:rPr>
      </w:pPr>
      <w:r>
        <w:rPr>
          <w:rStyle w:val="normaltextrun"/>
          <w:rFonts w:ascii="Calibri" w:hAnsi="Calibri" w:cs="Times New Roman"/>
          <w:sz w:val="22"/>
          <w:szCs w:val="22"/>
        </w:rPr>
        <w:t xml:space="preserve">plaatsvervangend secretaris: Joke </w:t>
      </w:r>
      <w:proofErr w:type="spellStart"/>
      <w:r>
        <w:rPr>
          <w:rStyle w:val="normaltextrun"/>
          <w:rFonts w:ascii="Calibri" w:hAnsi="Calibri" w:cs="Times New Roman"/>
          <w:sz w:val="22"/>
          <w:szCs w:val="22"/>
        </w:rPr>
        <w:t>Bungeneers</w:t>
      </w:r>
      <w:proofErr w:type="spellEnd"/>
      <w:r>
        <w:rPr>
          <w:rStyle w:val="normaltextrun"/>
          <w:rFonts w:ascii="Calibri" w:hAnsi="Calibri" w:cs="Times New Roman"/>
          <w:sz w:val="22"/>
          <w:szCs w:val="22"/>
        </w:rPr>
        <w:t>, diensthoofd Erfgoed</w:t>
      </w:r>
    </w:p>
    <w:p w:rsidR="00A31227" w:rsidRPr="00DC3F88" w:rsidRDefault="00A31227" w:rsidP="00A31227">
      <w:pPr>
        <w:pStyle w:val="paragraph"/>
        <w:numPr>
          <w:ilvl w:val="0"/>
          <w:numId w:val="8"/>
        </w:numPr>
        <w:spacing w:before="0" w:beforeAutospacing="0" w:after="0" w:afterAutospacing="0"/>
        <w:textAlignment w:val="baseline"/>
        <w:rPr>
          <w:rFonts w:ascii="Calibri" w:eastAsia="Calibri" w:hAnsi="Calibri" w:cs="Calibri"/>
          <w:sz w:val="22"/>
          <w:szCs w:val="22"/>
          <w:lang w:eastAsia="en-US"/>
        </w:rPr>
      </w:pPr>
      <w:r>
        <w:rPr>
          <w:rFonts w:ascii="Calibri" w:eastAsia="Calibri" w:hAnsi="Calibri" w:cs="Calibri"/>
          <w:sz w:val="22"/>
          <w:szCs w:val="22"/>
          <w:lang w:eastAsia="en-US"/>
        </w:rPr>
        <w:t>dr</w:t>
      </w:r>
      <w:r w:rsidRPr="00DC3F88">
        <w:rPr>
          <w:rFonts w:ascii="Calibri" w:eastAsia="Calibri" w:hAnsi="Calibri" w:cs="Calibri"/>
          <w:sz w:val="22"/>
          <w:szCs w:val="22"/>
          <w:lang w:eastAsia="en-US"/>
        </w:rPr>
        <w:t xml:space="preserve">. Mario </w:t>
      </w:r>
      <w:proofErr w:type="spellStart"/>
      <w:r w:rsidRPr="00DC3F88">
        <w:rPr>
          <w:rFonts w:ascii="Calibri" w:eastAsia="Calibri" w:hAnsi="Calibri" w:cs="Calibri"/>
          <w:sz w:val="22"/>
          <w:szCs w:val="22"/>
          <w:lang w:eastAsia="en-US"/>
        </w:rPr>
        <w:t>Baeck</w:t>
      </w:r>
      <w:proofErr w:type="spellEnd"/>
      <w:r>
        <w:rPr>
          <w:rFonts w:ascii="Calibri" w:eastAsia="Calibri" w:hAnsi="Calibri" w:cs="Calibri"/>
          <w:sz w:val="22"/>
          <w:szCs w:val="22"/>
          <w:lang w:eastAsia="en-US"/>
        </w:rPr>
        <w:t>,</w:t>
      </w:r>
      <w:r w:rsidRPr="00DC3F88">
        <w:rPr>
          <w:rFonts w:ascii="Calibri" w:eastAsia="Calibri" w:hAnsi="Calibri" w:cs="Calibri"/>
          <w:sz w:val="22"/>
          <w:szCs w:val="22"/>
          <w:lang w:eastAsia="en-US"/>
        </w:rPr>
        <w:t> </w:t>
      </w:r>
      <w:r>
        <w:rPr>
          <w:rFonts w:ascii="Calibri" w:eastAsia="Calibri" w:hAnsi="Calibri" w:cs="Calibri"/>
          <w:sz w:val="22"/>
          <w:szCs w:val="22"/>
          <w:lang w:eastAsia="en-US"/>
        </w:rPr>
        <w:t>secretaris</w:t>
      </w:r>
      <w:r w:rsidRPr="00DC3F88">
        <w:rPr>
          <w:rFonts w:ascii="Calibri" w:eastAsia="Calibri" w:hAnsi="Calibri" w:cs="Calibri"/>
          <w:sz w:val="22"/>
          <w:szCs w:val="22"/>
          <w:lang w:eastAsia="en-US"/>
        </w:rPr>
        <w:t xml:space="preserve"> vzw Wintertuin</w:t>
      </w:r>
      <w:r>
        <w:rPr>
          <w:rFonts w:ascii="Calibri" w:eastAsia="Calibri" w:hAnsi="Calibri" w:cs="Calibri"/>
          <w:sz w:val="22"/>
          <w:szCs w:val="22"/>
          <w:lang w:eastAsia="en-US"/>
        </w:rPr>
        <w:t xml:space="preserve"> Ursulinen</w:t>
      </w:r>
    </w:p>
    <w:p w:rsidR="00A31227" w:rsidRPr="00DC3F88" w:rsidRDefault="00A31227" w:rsidP="00A31227">
      <w:pPr>
        <w:pStyle w:val="paragraph"/>
        <w:numPr>
          <w:ilvl w:val="0"/>
          <w:numId w:val="8"/>
        </w:numPr>
        <w:spacing w:before="0" w:beforeAutospacing="0" w:after="0" w:afterAutospacing="0"/>
        <w:textAlignment w:val="baseline"/>
        <w:rPr>
          <w:rFonts w:ascii="Calibri" w:eastAsia="Calibri" w:hAnsi="Calibri" w:cs="Calibri"/>
          <w:sz w:val="22"/>
          <w:szCs w:val="22"/>
          <w:lang w:eastAsia="en-US"/>
        </w:rPr>
      </w:pPr>
      <w:r>
        <w:rPr>
          <w:rFonts w:ascii="Calibri" w:eastAsia="Calibri" w:hAnsi="Calibri" w:cs="Calibri"/>
          <w:sz w:val="22"/>
          <w:szCs w:val="22"/>
          <w:lang w:eastAsia="en-US"/>
        </w:rPr>
        <w:t>dr.</w:t>
      </w:r>
      <w:r w:rsidRPr="00DC3F88">
        <w:rPr>
          <w:rFonts w:ascii="Calibri" w:eastAsia="Calibri" w:hAnsi="Calibri" w:cs="Calibri"/>
          <w:sz w:val="22"/>
          <w:szCs w:val="22"/>
          <w:lang w:eastAsia="en-US"/>
        </w:rPr>
        <w:t xml:space="preserve"> Wim De</w:t>
      </w:r>
      <w:r>
        <w:rPr>
          <w:rFonts w:ascii="Calibri" w:eastAsia="Calibri" w:hAnsi="Calibri" w:cs="Calibri"/>
          <w:sz w:val="22"/>
          <w:szCs w:val="22"/>
          <w:lang w:eastAsia="en-US"/>
        </w:rPr>
        <w:t xml:space="preserve"> C</w:t>
      </w:r>
      <w:r w:rsidRPr="00DC3F88">
        <w:rPr>
          <w:rFonts w:ascii="Calibri" w:eastAsia="Calibri" w:hAnsi="Calibri" w:cs="Calibri"/>
          <w:sz w:val="22"/>
          <w:szCs w:val="22"/>
          <w:lang w:eastAsia="en-US"/>
        </w:rPr>
        <w:t>lercq, vakgroep Archeologie, Universiteit Gent </w:t>
      </w:r>
    </w:p>
    <w:p w:rsidR="00A31227" w:rsidRPr="00DC3F88" w:rsidRDefault="00A31227" w:rsidP="00A31227">
      <w:pPr>
        <w:pStyle w:val="paragraph"/>
        <w:numPr>
          <w:ilvl w:val="0"/>
          <w:numId w:val="8"/>
        </w:numPr>
        <w:spacing w:before="0" w:beforeAutospacing="0" w:after="0" w:afterAutospacing="0"/>
        <w:textAlignment w:val="baseline"/>
        <w:rPr>
          <w:rFonts w:ascii="Calibri" w:eastAsia="Calibri" w:hAnsi="Calibri" w:cs="Calibri"/>
          <w:sz w:val="22"/>
          <w:szCs w:val="22"/>
          <w:lang w:eastAsia="en-US"/>
        </w:rPr>
      </w:pPr>
      <w:r w:rsidRPr="00DC3F88">
        <w:rPr>
          <w:rFonts w:ascii="Calibri" w:eastAsia="Calibri" w:hAnsi="Calibri" w:cs="Calibri"/>
          <w:sz w:val="22"/>
          <w:szCs w:val="22"/>
          <w:lang w:eastAsia="en-US"/>
        </w:rPr>
        <w:t>Dhr. Rudy De Graef, erfgoedconsulent Vlaamse overheid/Agentschap Onroerend Erfgoed </w:t>
      </w:r>
    </w:p>
    <w:p w:rsidR="00A31227" w:rsidRPr="00DC3F88" w:rsidRDefault="00A31227" w:rsidP="00A31227">
      <w:pPr>
        <w:pStyle w:val="paragraph"/>
        <w:numPr>
          <w:ilvl w:val="0"/>
          <w:numId w:val="8"/>
        </w:numPr>
        <w:spacing w:before="0" w:beforeAutospacing="0" w:after="0" w:afterAutospacing="0"/>
        <w:textAlignment w:val="baseline"/>
        <w:rPr>
          <w:rFonts w:ascii="Calibri" w:eastAsia="Calibri" w:hAnsi="Calibri" w:cs="Calibri"/>
          <w:sz w:val="22"/>
          <w:szCs w:val="22"/>
          <w:lang w:eastAsia="en-US"/>
        </w:rPr>
      </w:pPr>
      <w:r w:rsidRPr="00DC3F88">
        <w:rPr>
          <w:rFonts w:ascii="Calibri" w:eastAsia="Calibri" w:hAnsi="Calibri" w:cs="Calibri"/>
          <w:sz w:val="22"/>
          <w:szCs w:val="22"/>
          <w:lang w:eastAsia="en-US"/>
        </w:rPr>
        <w:t>Mevr. Sabine Denissen, senior adviseur Provincie Antwerpen/dept. Vrije Tijd</w:t>
      </w:r>
      <w:r>
        <w:rPr>
          <w:rFonts w:ascii="Calibri" w:eastAsia="Calibri" w:hAnsi="Calibri" w:cs="Calibri"/>
          <w:sz w:val="22"/>
          <w:szCs w:val="22"/>
          <w:lang w:eastAsia="en-US"/>
        </w:rPr>
        <w:t>.</w:t>
      </w:r>
      <w:r w:rsidRPr="00DC3F88">
        <w:rPr>
          <w:rFonts w:ascii="Calibri" w:eastAsia="Calibri" w:hAnsi="Calibri" w:cs="Calibri"/>
          <w:sz w:val="22"/>
          <w:szCs w:val="22"/>
          <w:lang w:eastAsia="en-US"/>
        </w:rPr>
        <w:t> </w:t>
      </w:r>
    </w:p>
    <w:p w:rsidR="00A31227" w:rsidRDefault="00A31227" w:rsidP="00A31227">
      <w:pPr>
        <w:pStyle w:val="paragraph"/>
        <w:spacing w:before="0" w:beforeAutospacing="0" w:after="0" w:afterAutospacing="0"/>
        <w:ind w:left="720"/>
        <w:textAlignment w:val="baseline"/>
        <w:rPr>
          <w:rStyle w:val="normaltextrun"/>
          <w:rFonts w:ascii="Calibri" w:hAnsi="Calibri" w:cs="Times New Roman"/>
          <w:sz w:val="22"/>
          <w:szCs w:val="22"/>
        </w:rPr>
      </w:pPr>
    </w:p>
    <w:p w:rsidR="00A31227" w:rsidRPr="00A31227" w:rsidRDefault="003B3E7F" w:rsidP="00A31227">
      <w:pPr>
        <w:pStyle w:val="Lijstalinea"/>
        <w:ind w:left="360"/>
      </w:pPr>
      <w:r w:rsidRPr="00A31227">
        <w:rPr>
          <w:rFonts w:ascii="Calibri" w:eastAsia="Calibri" w:hAnsi="Calibri" w:cs="Calibri"/>
        </w:rPr>
        <w:t xml:space="preserve">Geen enkel jurylid zal rechtstreeks of onrechtstreeks betrokken zijn geweest bij werkzaamheden m.b.t. een ingediend project. De voorzitter neemt slechts deel aan de stemming bij staking van stemmen. </w:t>
      </w:r>
    </w:p>
    <w:p w:rsidR="00A31227" w:rsidRDefault="00A31227" w:rsidP="00A31227">
      <w:pPr>
        <w:pStyle w:val="Lijstalinea"/>
        <w:ind w:left="360"/>
        <w:rPr>
          <w:rFonts w:ascii="Calibri" w:eastAsia="Calibri" w:hAnsi="Calibri" w:cs="Calibri"/>
        </w:rPr>
      </w:pPr>
    </w:p>
    <w:p w:rsidR="003B3E7F" w:rsidRDefault="003B3E7F" w:rsidP="00A31227">
      <w:pPr>
        <w:pStyle w:val="Lijstalinea"/>
        <w:numPr>
          <w:ilvl w:val="0"/>
          <w:numId w:val="6"/>
        </w:numPr>
        <w:ind w:left="360"/>
        <w:rPr>
          <w:rFonts w:eastAsiaTheme="minorEastAsia"/>
        </w:rPr>
      </w:pPr>
      <w:r w:rsidRPr="17057BAB">
        <w:rPr>
          <w:rFonts w:ascii="Calibri" w:eastAsia="Calibri" w:hAnsi="Calibri" w:cs="Calibri"/>
        </w:rPr>
        <w:t xml:space="preserve">De beoordeling gebeurt als volgt: </w:t>
      </w:r>
    </w:p>
    <w:p w:rsidR="003B3E7F" w:rsidRDefault="003B3E7F" w:rsidP="00A31227">
      <w:pPr>
        <w:pStyle w:val="Lijstalinea"/>
        <w:numPr>
          <w:ilvl w:val="0"/>
          <w:numId w:val="2"/>
        </w:numPr>
        <w:spacing w:line="240" w:lineRule="auto"/>
        <w:rPr>
          <w:rFonts w:eastAsiaTheme="minorEastAsia"/>
        </w:rPr>
      </w:pPr>
      <w:r w:rsidRPr="17057BAB">
        <w:rPr>
          <w:rFonts w:ascii="Calibri" w:eastAsia="Calibri" w:hAnsi="Calibri" w:cs="Calibri"/>
        </w:rPr>
        <w:t>De administratie (dienst Erfgoed) screent alle inzendingen op hun ontvankelijkheid;</w:t>
      </w:r>
    </w:p>
    <w:p w:rsidR="003B3E7F" w:rsidRDefault="003B3E7F" w:rsidP="00A31227">
      <w:pPr>
        <w:pStyle w:val="Lijstalinea"/>
        <w:numPr>
          <w:ilvl w:val="0"/>
          <w:numId w:val="2"/>
        </w:numPr>
        <w:spacing w:line="240" w:lineRule="auto"/>
      </w:pPr>
      <w:r w:rsidRPr="6C522300">
        <w:rPr>
          <w:rFonts w:ascii="Calibri" w:eastAsia="Calibri" w:hAnsi="Calibri" w:cs="Calibri"/>
        </w:rPr>
        <w:t>De jury maakt een preselectie van de ingezonden kandidaturen en laat maximum 10 dossiers door naar de tweede ronde;</w:t>
      </w:r>
    </w:p>
    <w:p w:rsidR="003B3E7F" w:rsidRDefault="003B3E7F" w:rsidP="00A31227">
      <w:pPr>
        <w:pStyle w:val="Lijstalinea"/>
        <w:numPr>
          <w:ilvl w:val="0"/>
          <w:numId w:val="2"/>
        </w:numPr>
        <w:spacing w:line="240" w:lineRule="auto"/>
      </w:pPr>
      <w:r w:rsidRPr="6C522300">
        <w:rPr>
          <w:rFonts w:ascii="Calibri" w:eastAsia="Calibri" w:hAnsi="Calibri" w:cs="Calibri"/>
        </w:rPr>
        <w:t>Uit deze 10 geselecteerde dossiers kiest de jury de drie beste inzendingen;</w:t>
      </w:r>
    </w:p>
    <w:p w:rsidR="003B3E7F" w:rsidRDefault="003B3E7F" w:rsidP="00A31227">
      <w:pPr>
        <w:pStyle w:val="Lijstalinea"/>
        <w:numPr>
          <w:ilvl w:val="0"/>
          <w:numId w:val="2"/>
        </w:numPr>
        <w:spacing w:line="240" w:lineRule="auto"/>
      </w:pPr>
      <w:r w:rsidRPr="17057BAB">
        <w:rPr>
          <w:rFonts w:ascii="Calibri" w:eastAsia="Calibri" w:hAnsi="Calibri" w:cs="Calibri"/>
        </w:rPr>
        <w:t xml:space="preserve">Uit deze drie dossiers kiest de jury één winnaar, de twee anderen ontvangen de prijs van laureaat. </w:t>
      </w:r>
    </w:p>
    <w:p w:rsidR="003B3E7F" w:rsidRDefault="003B3E7F" w:rsidP="00A31227">
      <w:pPr>
        <w:spacing w:line="240" w:lineRule="auto"/>
        <w:ind w:left="360"/>
        <w:rPr>
          <w:rFonts w:ascii="Calibri" w:eastAsia="Calibri" w:hAnsi="Calibri" w:cs="Calibri"/>
        </w:rPr>
      </w:pPr>
      <w:r w:rsidRPr="17057BAB">
        <w:rPr>
          <w:rFonts w:ascii="Calibri" w:eastAsia="Calibri" w:hAnsi="Calibri" w:cs="Calibri"/>
        </w:rPr>
        <w:t>Indien de jury van oordeel is dat de deelnemende inzendingen niet van voldoende kwaliteit zijn, kan zij beslissen geen winnaar of laureaten voor te dragen, enkel een winnaar voor te dragen of bijkomend enkel één laureaat voor te dragen.</w:t>
      </w:r>
    </w:p>
    <w:p w:rsidR="00D462D6" w:rsidRDefault="00A31227" w:rsidP="003B3E7F">
      <w:bookmarkStart w:id="0" w:name="_GoBack"/>
      <w:bookmarkEnd w:id="0"/>
    </w:p>
    <w:sectPr w:rsidR="00D46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802"/>
    <w:multiLevelType w:val="hybridMultilevel"/>
    <w:tmpl w:val="A956BF20"/>
    <w:lvl w:ilvl="0" w:tplc="AA58A252">
      <w:start w:val="1"/>
      <w:numFmt w:val="bullet"/>
      <w:lvlText w:val=""/>
      <w:lvlJc w:val="left"/>
      <w:pPr>
        <w:ind w:left="720" w:hanging="360"/>
      </w:pPr>
      <w:rPr>
        <w:rFonts w:ascii="Symbol" w:hAnsi="Symbol" w:hint="default"/>
      </w:rPr>
    </w:lvl>
    <w:lvl w:ilvl="1" w:tplc="8B40B60A">
      <w:start w:val="1"/>
      <w:numFmt w:val="bullet"/>
      <w:lvlText w:val=""/>
      <w:lvlJc w:val="left"/>
      <w:pPr>
        <w:ind w:left="1440" w:hanging="360"/>
      </w:pPr>
      <w:rPr>
        <w:rFonts w:ascii="Symbol" w:hAnsi="Symbol" w:hint="default"/>
      </w:rPr>
    </w:lvl>
    <w:lvl w:ilvl="2" w:tplc="354E7FE8">
      <w:start w:val="1"/>
      <w:numFmt w:val="bullet"/>
      <w:lvlText w:val=""/>
      <w:lvlJc w:val="left"/>
      <w:pPr>
        <w:ind w:left="2160" w:hanging="360"/>
      </w:pPr>
      <w:rPr>
        <w:rFonts w:ascii="Wingdings" w:hAnsi="Wingdings" w:hint="default"/>
      </w:rPr>
    </w:lvl>
    <w:lvl w:ilvl="3" w:tplc="80827B20">
      <w:start w:val="1"/>
      <w:numFmt w:val="bullet"/>
      <w:lvlText w:val=""/>
      <w:lvlJc w:val="left"/>
      <w:pPr>
        <w:ind w:left="2880" w:hanging="360"/>
      </w:pPr>
      <w:rPr>
        <w:rFonts w:ascii="Symbol" w:hAnsi="Symbol" w:hint="default"/>
      </w:rPr>
    </w:lvl>
    <w:lvl w:ilvl="4" w:tplc="F5B26E96">
      <w:start w:val="1"/>
      <w:numFmt w:val="bullet"/>
      <w:lvlText w:val="o"/>
      <w:lvlJc w:val="left"/>
      <w:pPr>
        <w:ind w:left="3600" w:hanging="360"/>
      </w:pPr>
      <w:rPr>
        <w:rFonts w:ascii="Courier New" w:hAnsi="Courier New" w:hint="default"/>
      </w:rPr>
    </w:lvl>
    <w:lvl w:ilvl="5" w:tplc="CF1E6D8A">
      <w:start w:val="1"/>
      <w:numFmt w:val="bullet"/>
      <w:lvlText w:val=""/>
      <w:lvlJc w:val="left"/>
      <w:pPr>
        <w:ind w:left="4320" w:hanging="360"/>
      </w:pPr>
      <w:rPr>
        <w:rFonts w:ascii="Wingdings" w:hAnsi="Wingdings" w:hint="default"/>
      </w:rPr>
    </w:lvl>
    <w:lvl w:ilvl="6" w:tplc="ACE0B4DE">
      <w:start w:val="1"/>
      <w:numFmt w:val="bullet"/>
      <w:lvlText w:val=""/>
      <w:lvlJc w:val="left"/>
      <w:pPr>
        <w:ind w:left="5040" w:hanging="360"/>
      </w:pPr>
      <w:rPr>
        <w:rFonts w:ascii="Symbol" w:hAnsi="Symbol" w:hint="default"/>
      </w:rPr>
    </w:lvl>
    <w:lvl w:ilvl="7" w:tplc="4D6A6A02">
      <w:start w:val="1"/>
      <w:numFmt w:val="bullet"/>
      <w:lvlText w:val="o"/>
      <w:lvlJc w:val="left"/>
      <w:pPr>
        <w:ind w:left="5760" w:hanging="360"/>
      </w:pPr>
      <w:rPr>
        <w:rFonts w:ascii="Courier New" w:hAnsi="Courier New" w:hint="default"/>
      </w:rPr>
    </w:lvl>
    <w:lvl w:ilvl="8" w:tplc="5D18DA30">
      <w:start w:val="1"/>
      <w:numFmt w:val="bullet"/>
      <w:lvlText w:val=""/>
      <w:lvlJc w:val="left"/>
      <w:pPr>
        <w:ind w:left="6480" w:hanging="360"/>
      </w:pPr>
      <w:rPr>
        <w:rFonts w:ascii="Wingdings" w:hAnsi="Wingdings" w:hint="default"/>
      </w:rPr>
    </w:lvl>
  </w:abstractNum>
  <w:abstractNum w:abstractNumId="1" w15:restartNumberingAfterBreak="0">
    <w:nsid w:val="03D22F77"/>
    <w:multiLevelType w:val="hybridMultilevel"/>
    <w:tmpl w:val="39722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77C71"/>
    <w:multiLevelType w:val="hybridMultilevel"/>
    <w:tmpl w:val="843ED6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5B4064"/>
    <w:multiLevelType w:val="hybridMultilevel"/>
    <w:tmpl w:val="105634AA"/>
    <w:lvl w:ilvl="0" w:tplc="08130001">
      <w:start w:val="1"/>
      <w:numFmt w:val="bullet"/>
      <w:lvlText w:val=""/>
      <w:lvlJc w:val="left"/>
      <w:pPr>
        <w:ind w:left="720" w:hanging="360"/>
      </w:pPr>
      <w:rPr>
        <w:rFonts w:ascii="Symbol" w:hAnsi="Symbol" w:hint="default"/>
      </w:rPr>
    </w:lvl>
    <w:lvl w:ilvl="1" w:tplc="52A8500A">
      <w:start w:val="1"/>
      <w:numFmt w:val="bullet"/>
      <w:lvlText w:val=""/>
      <w:lvlJc w:val="left"/>
      <w:pPr>
        <w:ind w:left="1440" w:hanging="360"/>
      </w:pPr>
      <w:rPr>
        <w:rFonts w:ascii="Symbol" w:hAnsi="Symbol" w:hint="default"/>
      </w:rPr>
    </w:lvl>
    <w:lvl w:ilvl="2" w:tplc="109C87DE">
      <w:start w:val="1"/>
      <w:numFmt w:val="lowerRoman"/>
      <w:lvlText w:val="%3."/>
      <w:lvlJc w:val="right"/>
      <w:pPr>
        <w:ind w:left="2160" w:hanging="180"/>
      </w:pPr>
    </w:lvl>
    <w:lvl w:ilvl="3" w:tplc="C372683C">
      <w:start w:val="1"/>
      <w:numFmt w:val="decimal"/>
      <w:lvlText w:val="%4."/>
      <w:lvlJc w:val="left"/>
      <w:pPr>
        <w:ind w:left="2880" w:hanging="360"/>
      </w:pPr>
    </w:lvl>
    <w:lvl w:ilvl="4" w:tplc="2110D208">
      <w:start w:val="1"/>
      <w:numFmt w:val="lowerLetter"/>
      <w:lvlText w:val="%5."/>
      <w:lvlJc w:val="left"/>
      <w:pPr>
        <w:ind w:left="3600" w:hanging="360"/>
      </w:pPr>
    </w:lvl>
    <w:lvl w:ilvl="5" w:tplc="0AB63BFE">
      <w:start w:val="1"/>
      <w:numFmt w:val="lowerRoman"/>
      <w:lvlText w:val="%6."/>
      <w:lvlJc w:val="right"/>
      <w:pPr>
        <w:ind w:left="4320" w:hanging="180"/>
      </w:pPr>
    </w:lvl>
    <w:lvl w:ilvl="6" w:tplc="0584E570">
      <w:start w:val="1"/>
      <w:numFmt w:val="decimal"/>
      <w:lvlText w:val="%7."/>
      <w:lvlJc w:val="left"/>
      <w:pPr>
        <w:ind w:left="5040" w:hanging="360"/>
      </w:pPr>
    </w:lvl>
    <w:lvl w:ilvl="7" w:tplc="B4107F50">
      <w:start w:val="1"/>
      <w:numFmt w:val="lowerLetter"/>
      <w:lvlText w:val="%8."/>
      <w:lvlJc w:val="left"/>
      <w:pPr>
        <w:ind w:left="5760" w:hanging="360"/>
      </w:pPr>
    </w:lvl>
    <w:lvl w:ilvl="8" w:tplc="86E8F214">
      <w:start w:val="1"/>
      <w:numFmt w:val="lowerRoman"/>
      <w:lvlText w:val="%9."/>
      <w:lvlJc w:val="right"/>
      <w:pPr>
        <w:ind w:left="6480" w:hanging="180"/>
      </w:pPr>
    </w:lvl>
  </w:abstractNum>
  <w:abstractNum w:abstractNumId="4" w15:restartNumberingAfterBreak="0">
    <w:nsid w:val="32F059C4"/>
    <w:multiLevelType w:val="hybridMultilevel"/>
    <w:tmpl w:val="D624A11E"/>
    <w:lvl w:ilvl="0" w:tplc="66506EF0">
      <w:start w:val="1"/>
      <w:numFmt w:val="bullet"/>
      <w:lvlText w:val=""/>
      <w:lvlJc w:val="left"/>
      <w:pPr>
        <w:ind w:left="720" w:hanging="360"/>
      </w:pPr>
      <w:rPr>
        <w:rFonts w:ascii="Symbol" w:hAnsi="Symbol" w:hint="default"/>
      </w:rPr>
    </w:lvl>
    <w:lvl w:ilvl="1" w:tplc="886E8216">
      <w:start w:val="1"/>
      <w:numFmt w:val="bullet"/>
      <w:lvlText w:val=""/>
      <w:lvlJc w:val="left"/>
      <w:pPr>
        <w:ind w:left="1440" w:hanging="360"/>
      </w:pPr>
      <w:rPr>
        <w:rFonts w:ascii="Symbol" w:hAnsi="Symbol" w:hint="default"/>
      </w:rPr>
    </w:lvl>
    <w:lvl w:ilvl="2" w:tplc="1EDC1EA4">
      <w:start w:val="1"/>
      <w:numFmt w:val="bullet"/>
      <w:lvlText w:val=""/>
      <w:lvlJc w:val="left"/>
      <w:pPr>
        <w:ind w:left="2160" w:hanging="360"/>
      </w:pPr>
      <w:rPr>
        <w:rFonts w:ascii="Wingdings" w:hAnsi="Wingdings" w:hint="default"/>
      </w:rPr>
    </w:lvl>
    <w:lvl w:ilvl="3" w:tplc="F034B03C">
      <w:start w:val="1"/>
      <w:numFmt w:val="bullet"/>
      <w:lvlText w:val=""/>
      <w:lvlJc w:val="left"/>
      <w:pPr>
        <w:ind w:left="2880" w:hanging="360"/>
      </w:pPr>
      <w:rPr>
        <w:rFonts w:ascii="Symbol" w:hAnsi="Symbol" w:hint="default"/>
      </w:rPr>
    </w:lvl>
    <w:lvl w:ilvl="4" w:tplc="7102B3B0">
      <w:start w:val="1"/>
      <w:numFmt w:val="bullet"/>
      <w:lvlText w:val="o"/>
      <w:lvlJc w:val="left"/>
      <w:pPr>
        <w:ind w:left="3600" w:hanging="360"/>
      </w:pPr>
      <w:rPr>
        <w:rFonts w:ascii="Courier New" w:hAnsi="Courier New" w:hint="default"/>
      </w:rPr>
    </w:lvl>
    <w:lvl w:ilvl="5" w:tplc="FB92CFAA">
      <w:start w:val="1"/>
      <w:numFmt w:val="bullet"/>
      <w:lvlText w:val=""/>
      <w:lvlJc w:val="left"/>
      <w:pPr>
        <w:ind w:left="4320" w:hanging="360"/>
      </w:pPr>
      <w:rPr>
        <w:rFonts w:ascii="Wingdings" w:hAnsi="Wingdings" w:hint="default"/>
      </w:rPr>
    </w:lvl>
    <w:lvl w:ilvl="6" w:tplc="67409D28">
      <w:start w:val="1"/>
      <w:numFmt w:val="bullet"/>
      <w:lvlText w:val=""/>
      <w:lvlJc w:val="left"/>
      <w:pPr>
        <w:ind w:left="5040" w:hanging="360"/>
      </w:pPr>
      <w:rPr>
        <w:rFonts w:ascii="Symbol" w:hAnsi="Symbol" w:hint="default"/>
      </w:rPr>
    </w:lvl>
    <w:lvl w:ilvl="7" w:tplc="943426A2">
      <w:start w:val="1"/>
      <w:numFmt w:val="bullet"/>
      <w:lvlText w:val="o"/>
      <w:lvlJc w:val="left"/>
      <w:pPr>
        <w:ind w:left="5760" w:hanging="360"/>
      </w:pPr>
      <w:rPr>
        <w:rFonts w:ascii="Courier New" w:hAnsi="Courier New" w:hint="default"/>
      </w:rPr>
    </w:lvl>
    <w:lvl w:ilvl="8" w:tplc="90EE9DD0">
      <w:start w:val="1"/>
      <w:numFmt w:val="bullet"/>
      <w:lvlText w:val=""/>
      <w:lvlJc w:val="left"/>
      <w:pPr>
        <w:ind w:left="6480" w:hanging="360"/>
      </w:pPr>
      <w:rPr>
        <w:rFonts w:ascii="Wingdings" w:hAnsi="Wingdings" w:hint="default"/>
      </w:rPr>
    </w:lvl>
  </w:abstractNum>
  <w:abstractNum w:abstractNumId="5" w15:restartNumberingAfterBreak="0">
    <w:nsid w:val="3C775F42"/>
    <w:multiLevelType w:val="hybridMultilevel"/>
    <w:tmpl w:val="535411B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22B3DBD"/>
    <w:multiLevelType w:val="hybridMultilevel"/>
    <w:tmpl w:val="9DBCB69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B9C1363"/>
    <w:multiLevelType w:val="hybridMultilevel"/>
    <w:tmpl w:val="0512F5FE"/>
    <w:lvl w:ilvl="0" w:tplc="AACE3204">
      <w:start w:val="1"/>
      <w:numFmt w:val="decimal"/>
      <w:lvlText w:val="%1."/>
      <w:lvlJc w:val="left"/>
      <w:pPr>
        <w:ind w:left="720" w:hanging="360"/>
      </w:pPr>
    </w:lvl>
    <w:lvl w:ilvl="1" w:tplc="52A8500A">
      <w:start w:val="1"/>
      <w:numFmt w:val="bullet"/>
      <w:lvlText w:val=""/>
      <w:lvlJc w:val="left"/>
      <w:pPr>
        <w:ind w:left="1440" w:hanging="360"/>
      </w:pPr>
      <w:rPr>
        <w:rFonts w:ascii="Symbol" w:hAnsi="Symbol" w:hint="default"/>
      </w:rPr>
    </w:lvl>
    <w:lvl w:ilvl="2" w:tplc="109C87DE">
      <w:start w:val="1"/>
      <w:numFmt w:val="lowerRoman"/>
      <w:lvlText w:val="%3."/>
      <w:lvlJc w:val="right"/>
      <w:pPr>
        <w:ind w:left="2160" w:hanging="180"/>
      </w:pPr>
    </w:lvl>
    <w:lvl w:ilvl="3" w:tplc="C372683C">
      <w:start w:val="1"/>
      <w:numFmt w:val="decimal"/>
      <w:lvlText w:val="%4."/>
      <w:lvlJc w:val="left"/>
      <w:pPr>
        <w:ind w:left="2880" w:hanging="360"/>
      </w:pPr>
    </w:lvl>
    <w:lvl w:ilvl="4" w:tplc="2110D208">
      <w:start w:val="1"/>
      <w:numFmt w:val="lowerLetter"/>
      <w:lvlText w:val="%5."/>
      <w:lvlJc w:val="left"/>
      <w:pPr>
        <w:ind w:left="3600" w:hanging="360"/>
      </w:pPr>
    </w:lvl>
    <w:lvl w:ilvl="5" w:tplc="0AB63BFE">
      <w:start w:val="1"/>
      <w:numFmt w:val="lowerRoman"/>
      <w:lvlText w:val="%6."/>
      <w:lvlJc w:val="right"/>
      <w:pPr>
        <w:ind w:left="4320" w:hanging="180"/>
      </w:pPr>
    </w:lvl>
    <w:lvl w:ilvl="6" w:tplc="0584E570">
      <w:start w:val="1"/>
      <w:numFmt w:val="decimal"/>
      <w:lvlText w:val="%7."/>
      <w:lvlJc w:val="left"/>
      <w:pPr>
        <w:ind w:left="5040" w:hanging="360"/>
      </w:pPr>
    </w:lvl>
    <w:lvl w:ilvl="7" w:tplc="B4107F50">
      <w:start w:val="1"/>
      <w:numFmt w:val="lowerLetter"/>
      <w:lvlText w:val="%8."/>
      <w:lvlJc w:val="left"/>
      <w:pPr>
        <w:ind w:left="5760" w:hanging="360"/>
      </w:pPr>
    </w:lvl>
    <w:lvl w:ilvl="8" w:tplc="86E8F214">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EC"/>
    <w:rsid w:val="003B3E7F"/>
    <w:rsid w:val="00772B2C"/>
    <w:rsid w:val="00A31227"/>
    <w:rsid w:val="00B870EC"/>
    <w:rsid w:val="00D409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EA5B"/>
  <w15:chartTrackingRefBased/>
  <w15:docId w15:val="{1F19A221-6BCA-4D7D-B12A-A0946A78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3E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3E7F"/>
    <w:pPr>
      <w:ind w:left="720"/>
      <w:contextualSpacing/>
    </w:pPr>
  </w:style>
  <w:style w:type="paragraph" w:customStyle="1" w:styleId="paragraph">
    <w:name w:val="paragraph"/>
    <w:basedOn w:val="Standaard"/>
    <w:rsid w:val="003B3E7F"/>
    <w:pPr>
      <w:spacing w:before="100" w:beforeAutospacing="1" w:after="100" w:afterAutospacing="1" w:line="240" w:lineRule="auto"/>
    </w:pPr>
    <w:rPr>
      <w:rFonts w:ascii="Times" w:eastAsiaTheme="minorEastAsia" w:hAnsi="Times"/>
      <w:sz w:val="20"/>
      <w:szCs w:val="20"/>
      <w:lang w:eastAsia="nl-NL"/>
    </w:rPr>
  </w:style>
  <w:style w:type="character" w:customStyle="1" w:styleId="normaltextrun">
    <w:name w:val="normaltextrun"/>
    <w:basedOn w:val="Standaardalinea-lettertype"/>
    <w:rsid w:val="00A31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926</Words>
  <Characters>5096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MIGOM Serge</dc:creator>
  <cp:keywords/>
  <dc:description/>
  <cp:lastModifiedBy>MIGOM Serge</cp:lastModifiedBy>
  <cp:revision>2</cp:revision>
  <dcterms:created xsi:type="dcterms:W3CDTF">2021-05-06T11:41:00Z</dcterms:created>
  <dcterms:modified xsi:type="dcterms:W3CDTF">2021-05-06T11:58:00Z</dcterms:modified>
</cp:coreProperties>
</file>